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b/>
          <w:sz w:val="36"/>
        </w:rPr>
      </w:pPr>
    </w:p>
    <w:p>
      <w:pPr>
        <w:widowControl/>
        <w:jc w:val="center"/>
        <w:rPr>
          <w:b/>
          <w:sz w:val="36"/>
        </w:rPr>
      </w:pPr>
    </w:p>
    <w:p>
      <w:pPr>
        <w:widowControl/>
        <w:jc w:val="center"/>
        <w:rPr>
          <w:rFonts w:ascii="黑体" w:eastAsia="黑体"/>
          <w:b/>
          <w:sz w:val="52"/>
        </w:rPr>
      </w:pPr>
      <w:r>
        <w:rPr>
          <w:rFonts w:hint="eastAsia" w:ascii="黑体" w:eastAsia="黑体"/>
          <w:b/>
          <w:sz w:val="52"/>
        </w:rPr>
        <w:t>河南工业和信息化职业学院</w:t>
      </w:r>
    </w:p>
    <w:p>
      <w:pPr>
        <w:widowControl/>
        <w:jc w:val="center"/>
        <w:rPr>
          <w:rFonts w:ascii="黑体" w:eastAsia="黑体"/>
          <w:b/>
          <w:sz w:val="52"/>
        </w:rPr>
      </w:pPr>
      <w:r>
        <w:rPr>
          <w:rFonts w:hint="eastAsia" w:ascii="黑体" w:eastAsia="黑体"/>
          <w:b/>
          <w:sz w:val="52"/>
        </w:rPr>
        <w:t>工会委员会建言献策征文活动作品</w:t>
      </w:r>
    </w:p>
    <w:p>
      <w:pPr>
        <w:widowControl/>
        <w:jc w:val="center"/>
        <w:rPr>
          <w:b/>
          <w:sz w:val="36"/>
        </w:rPr>
      </w:pPr>
    </w:p>
    <w:p>
      <w:pPr>
        <w:widowControl/>
        <w:jc w:val="center"/>
        <w:rPr>
          <w:b/>
          <w:sz w:val="36"/>
        </w:rPr>
      </w:pPr>
    </w:p>
    <w:p>
      <w:pPr>
        <w:widowControl/>
        <w:jc w:val="center"/>
        <w:rPr>
          <w:b/>
          <w:sz w:val="36"/>
        </w:rPr>
      </w:pPr>
    </w:p>
    <w:p>
      <w:pPr>
        <w:widowControl/>
        <w:jc w:val="center"/>
        <w:rPr>
          <w:b/>
          <w:sz w:val="36"/>
        </w:rPr>
      </w:pPr>
    </w:p>
    <w:p>
      <w:pPr>
        <w:widowControl/>
        <w:jc w:val="center"/>
        <w:rPr>
          <w:b/>
          <w:sz w:val="36"/>
        </w:rPr>
      </w:pPr>
    </w:p>
    <w:p>
      <w:pPr>
        <w:widowControl/>
        <w:jc w:val="center"/>
        <w:rPr>
          <w:b/>
          <w:sz w:val="36"/>
        </w:rPr>
      </w:pPr>
    </w:p>
    <w:p>
      <w:pPr>
        <w:widowControl/>
        <w:jc w:val="center"/>
        <w:rPr>
          <w:b/>
          <w:sz w:val="36"/>
        </w:rPr>
      </w:pPr>
    </w:p>
    <w:p>
      <w:pPr>
        <w:widowControl/>
        <w:jc w:val="center"/>
        <w:rPr>
          <w:b/>
          <w:sz w:val="36"/>
        </w:rPr>
      </w:pPr>
    </w:p>
    <w:p>
      <w:pPr>
        <w:widowControl/>
        <w:jc w:val="center"/>
        <w:rPr>
          <w:b/>
          <w:sz w:val="36"/>
        </w:rPr>
      </w:pPr>
    </w:p>
    <w:p>
      <w:pPr>
        <w:widowControl/>
        <w:jc w:val="center"/>
        <w:rPr>
          <w:b/>
          <w:sz w:val="36"/>
        </w:rPr>
      </w:pPr>
    </w:p>
    <w:p>
      <w:pPr>
        <w:widowControl/>
        <w:jc w:val="center"/>
        <w:rPr>
          <w:b/>
          <w:sz w:val="36"/>
        </w:rPr>
      </w:pPr>
    </w:p>
    <w:p>
      <w:pPr>
        <w:widowControl/>
        <w:jc w:val="center"/>
        <w:rPr>
          <w:b/>
          <w:sz w:val="36"/>
        </w:rPr>
      </w:pPr>
    </w:p>
    <w:p>
      <w:pPr>
        <w:widowControl/>
        <w:jc w:val="center"/>
        <w:rPr>
          <w:b/>
          <w:sz w:val="36"/>
        </w:rPr>
      </w:pPr>
    </w:p>
    <w:p>
      <w:pPr>
        <w:widowControl/>
        <w:ind w:left="2100" w:leftChars="1000"/>
        <w:rPr>
          <w:b/>
          <w:sz w:val="36"/>
        </w:rPr>
      </w:pPr>
      <w:r>
        <w:rPr>
          <w:rFonts w:hint="eastAsia"/>
          <w:b/>
          <w:sz w:val="36"/>
        </w:rPr>
        <w:t>单位名称：</w:t>
      </w:r>
      <w:r>
        <w:rPr>
          <w:rFonts w:hint="eastAsia"/>
          <w:b/>
          <w:sz w:val="36"/>
          <w:u w:val="thick"/>
        </w:rPr>
        <w:t xml:space="preserve">  </w:t>
      </w:r>
      <w:r>
        <w:rPr>
          <w:rFonts w:hint="eastAsia"/>
          <w:b/>
          <w:sz w:val="36"/>
          <w:u w:val="thick"/>
          <w:lang w:val="en-US" w:eastAsia="zh-CN"/>
        </w:rPr>
        <w:t xml:space="preserve"> </w:t>
      </w:r>
      <w:r>
        <w:rPr>
          <w:rFonts w:hint="eastAsia"/>
          <w:b/>
          <w:sz w:val="36"/>
          <w:u w:val="thick"/>
        </w:rPr>
        <w:t xml:space="preserve">  </w:t>
      </w:r>
    </w:p>
    <w:p>
      <w:pPr>
        <w:widowControl/>
        <w:ind w:left="2100" w:leftChars="1000"/>
        <w:rPr>
          <w:b/>
          <w:sz w:val="36"/>
        </w:rPr>
      </w:pPr>
      <w:r>
        <w:rPr>
          <w:rFonts w:hint="eastAsia"/>
          <w:b/>
          <w:sz w:val="36"/>
        </w:rPr>
        <w:t>作    者：</w:t>
      </w:r>
      <w:r>
        <w:rPr>
          <w:rFonts w:hint="eastAsia"/>
          <w:b/>
          <w:sz w:val="36"/>
          <w:u w:val="single"/>
        </w:rPr>
        <w:t xml:space="preserve">    </w:t>
      </w:r>
      <w:r>
        <w:rPr>
          <w:rFonts w:hint="eastAsia"/>
          <w:b/>
          <w:sz w:val="36"/>
          <w:u w:val="single"/>
          <w:lang w:val="en-US" w:eastAsia="zh-CN"/>
        </w:rPr>
        <w:t xml:space="preserve"> </w:t>
      </w:r>
      <w:r>
        <w:rPr>
          <w:rFonts w:hint="eastAsia"/>
          <w:b/>
          <w:sz w:val="36"/>
          <w:u w:val="single"/>
        </w:rPr>
        <w:t xml:space="preserve">   </w:t>
      </w:r>
    </w:p>
    <w:p>
      <w:pPr>
        <w:widowControl/>
        <w:ind w:left="1680" w:firstLine="420"/>
        <w:jc w:val="left"/>
        <w:rPr>
          <w:b/>
          <w:sz w:val="36"/>
          <w:u w:val="thick"/>
        </w:rPr>
      </w:pPr>
      <w:r>
        <w:rPr>
          <w:rFonts w:hint="eastAsia"/>
          <w:b/>
          <w:sz w:val="36"/>
        </w:rPr>
        <w:t>联系方式：</w:t>
      </w:r>
      <w:r>
        <w:rPr>
          <w:rFonts w:hint="eastAsia"/>
          <w:b/>
          <w:sz w:val="36"/>
          <w:u w:val="thick"/>
        </w:rPr>
        <w:t xml:space="preserve"> </w:t>
      </w:r>
      <w:r>
        <w:rPr>
          <w:rFonts w:hint="eastAsia"/>
          <w:b/>
          <w:sz w:val="36"/>
          <w:u w:val="thick"/>
          <w:lang w:val="en-US" w:eastAsia="zh-CN"/>
        </w:rPr>
        <w:t xml:space="preserve">  </w:t>
      </w:r>
      <w:r>
        <w:rPr>
          <w:rFonts w:hint="eastAsia"/>
          <w:b/>
          <w:sz w:val="36"/>
          <w:u w:val="thick"/>
        </w:rPr>
        <w:t xml:space="preserve"> </w:t>
      </w:r>
    </w:p>
    <w:p>
      <w:pPr>
        <w:widowControl/>
        <w:jc w:val="left"/>
        <w:rPr>
          <w:b/>
          <w:sz w:val="36"/>
        </w:rPr>
      </w:pPr>
    </w:p>
    <w:p>
      <w:pPr>
        <w:widowControl/>
        <w:jc w:val="left"/>
        <w:rPr>
          <w:b/>
          <w:sz w:val="36"/>
        </w:rPr>
      </w:pPr>
      <w:r>
        <w:rPr>
          <w:b/>
          <w:sz w:val="36"/>
        </w:rPr>
        <w:br w:type="page"/>
      </w:r>
    </w:p>
    <w:p>
      <w:pPr>
        <w:spacing w:after="312" w:afterLines="100"/>
        <w:jc w:val="center"/>
        <w:rPr>
          <w:b/>
          <w:sz w:val="36"/>
        </w:rPr>
      </w:pPr>
      <w:r>
        <w:rPr>
          <w:rFonts w:hint="eastAsia"/>
          <w:b/>
          <w:sz w:val="36"/>
        </w:rPr>
        <w:t>高校不良网络借贷防范工作探讨</w:t>
      </w:r>
    </w:p>
    <w:p>
      <w:pPr>
        <w:spacing w:line="440" w:lineRule="exact"/>
        <w:rPr>
          <w:b/>
          <w:sz w:val="28"/>
        </w:rPr>
      </w:pPr>
      <w:r>
        <w:rPr>
          <w:rFonts w:hint="eastAsia"/>
          <w:b/>
          <w:sz w:val="28"/>
        </w:rPr>
        <w:t>摘要：</w:t>
      </w:r>
      <w:r>
        <w:rPr>
          <w:rFonts w:hint="eastAsia"/>
          <w:sz w:val="28"/>
        </w:rPr>
        <w:t>高校大学生无稳定的经济收入来源，主要靠父母补给，而网络借贷进入校园便成了大学生新的资金筹集渠道。同时，由于大学生辨别是非能力、自我保护意识差，社会对网络监管力度较低等原因，导致高校校园不良网络借贷的肆意盛行。文章通过不良借贷案例，详细分析了网络借贷的潜在风险，并借此提出了高校不良借贷防范工作的具体思路和方法。</w:t>
      </w:r>
    </w:p>
    <w:p>
      <w:pPr>
        <w:rPr>
          <w:b/>
          <w:sz w:val="28"/>
        </w:rPr>
      </w:pPr>
      <w:r>
        <w:rPr>
          <w:rFonts w:hint="eastAsia"/>
          <w:b/>
          <w:sz w:val="28"/>
        </w:rPr>
        <w:t>关键词：网络借贷；风险；防范</w:t>
      </w:r>
    </w:p>
    <w:p>
      <w:pPr>
        <w:rPr>
          <w:rFonts w:ascii="黑体" w:hAnsi="宋体" w:eastAsia="黑体"/>
          <w:b/>
          <w:sz w:val="30"/>
          <w:szCs w:val="30"/>
        </w:rPr>
      </w:pPr>
      <w:r>
        <w:rPr>
          <w:rFonts w:hint="eastAsia" w:ascii="黑体" w:hAnsi="宋体" w:eastAsia="黑体"/>
          <w:b/>
          <w:sz w:val="30"/>
          <w:szCs w:val="30"/>
        </w:rPr>
        <w:t>1.不良借贷背景</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借贷”一词，其本义为借用钱物，最早于春秋战国时期，随着商品货币经济的发展，各种借贷的现象就已陆续显现出来。从本质上讲，国家机构所从事的这种借贷业，有利于劳动者正常生产的进行，对国家也有利，因此是应当肯定的。</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借贷，在法律意义上，是指由贷方与借方成立一项“借贷契约”，贷方将金钱所有权移转给借方，到期时由借方返还同额的钱。然而，在具体实施借贷工作时，一些不法份子从根本上扭曲了对借贷的理解，将借贷作为获取高额利润及自身成果的一种方式，这却同时给贷方带来了极大的人身和财产危害，这一现象如今在大学校</w:t>
      </w:r>
      <w:bookmarkStart w:id="0" w:name="_GoBack"/>
      <w:bookmarkEnd w:id="0"/>
      <w:r>
        <w:rPr>
          <w:rFonts w:hint="eastAsia" w:ascii="仿宋_GB2312" w:eastAsia="仿宋_GB2312"/>
          <w:sz w:val="30"/>
          <w:szCs w:val="30"/>
        </w:rPr>
        <w:t>园极为盛行和猖獗。鉴于在校大学生在危险辨别和自我保护意识等方面相对较差，不法分子趁机选择在校大学生作为不良借贷的对象。</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如今，大学生实施借贷的方式主要为网络借贷，其原因主要表现为快速、便捷，能够使借款人方便地获得借款，同时由于网络具有广域性，因此网络借贷中借款人发布借款信息后，能够在广阔的范围内使他人获知自己的借贷需求，从而发掘更多的潜在的贷款人。</w:t>
      </w:r>
    </w:p>
    <w:p>
      <w:pPr>
        <w:rPr>
          <w:rFonts w:ascii="黑体" w:hAnsi="宋体" w:eastAsia="黑体"/>
          <w:b/>
          <w:sz w:val="30"/>
          <w:szCs w:val="30"/>
        </w:rPr>
      </w:pPr>
      <w:r>
        <w:rPr>
          <w:rFonts w:hint="eastAsia" w:ascii="黑体" w:hAnsi="宋体" w:eastAsia="黑体"/>
          <w:b/>
          <w:sz w:val="30"/>
          <w:szCs w:val="30"/>
        </w:rPr>
        <w:t>2.不良借贷风险概述</w:t>
      </w:r>
    </w:p>
    <w:p>
      <w:pPr>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下面我们先看一个不良网络借贷的案例。</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湖南某高校大三学生小杨曾有过一次“难忘”的借贷经历。去年12月，他迷上了一款手机游戏，为了购买装备、充游戏币，三天内他不知不觉就消费了近800元。当他取钱充饭卡时才发现银行卡里只剩100元了，此时，距父母汇生活费还有两周时间。一向“好面子”的小杨便想起了校门口的借贷“小广告”。</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小杨说，对方要求他提供学信网登录截图及辅导员和家长的手机号码，签了一份类似借款的协议后，就借到了800元。一周后，小杨便开始接到借贷平台的催款电话。</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“借钱时没搞明白‘一周10个点’是什么意思，他们还骗说还不上可分期还，我当时快崩溃了，哪有钱还。”小杨说，此时他才弄明白，“10个点”即一周利息10%，更可恶的是，第二周再不还，就会利滚利。</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“那时每天都会接到催债电话，对方还威胁，一周内再不还就打电话给辅导员和家长，找他们要钱。”小杨说，受不了这种惊吓，他只好向父母老实交代，立即把钱还了。</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从上述小杨“难忘”的借贷经历我们可以发现部分不良网贷平台采取虚假宣传、降低门槛、隐瞒资费标准、中间商采取小额回报的方式，诱导学生陷入“高利贷”陷阱，侵犯学生的合法权益，给学生的学习、生活、就业等带来不良影响，也打扰了家长、老师的正常工作。因此，网络借贷相对法律认同的正常借贷行为具有高风险、低回报的特点，我们应抵制这种不良借贷行为。从近几年各所高校所发生的“校园不良网络借贷”案例，我们总结出校园网络借贷所具有的风险主要体现在以下几个方面：</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（1）被诈骗的风险。网络借贷平台管理不够规范，缺少风险的应对机制，同时学生对危险辨别意识差，导致借款学生对贷款诈骗分子难以识别；</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（2）强迫接受高额利息的风险。在校大学生可能因为经济问题而被迫接受远超过银行贷款的高额利息，这对尚未有经济来源的大学生来说无疑是一重大负担和风险；</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（3）利滚利的风险。因无经济收入，还款到期时大学生仍无法还款，大多学生被迫接受利滚利，最终导致借款数额巨大；</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（4）个人信息泄露的风险。网络借贷平台管理不规范，无严格的管理制度，借款人的个人信息存在被泄露的风险。</w:t>
      </w:r>
    </w:p>
    <w:p>
      <w:pPr>
        <w:rPr>
          <w:rFonts w:ascii="黑体" w:hAnsi="宋体" w:eastAsia="黑体"/>
          <w:b/>
          <w:sz w:val="30"/>
          <w:szCs w:val="30"/>
        </w:rPr>
      </w:pPr>
      <w:r>
        <w:rPr>
          <w:rFonts w:hint="eastAsia" w:ascii="黑体" w:hAnsi="宋体" w:eastAsia="黑体"/>
          <w:b/>
          <w:sz w:val="30"/>
          <w:szCs w:val="30"/>
        </w:rPr>
        <w:t>3.不良借贷防范工作思路与实施</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针对当前高校不良借贷现象的日益旺盛、猖獗及其危害，对不良借贷的防范工作无疑是高校学生管理工作中重要且应引起高度重视的一个方面。高校若要避免此现象的发生，仍需从根本入手，要让学生对网络借贷有一个更清楚的认识和理解，同时加强对学生的日常教育，使学生有一个正确的消费观念，为创建和谐校园打下良好的基础。具体的工作思路与方法如下：</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1）加大对学生的日常管理工作，切实关注学生日常消费行为。辅导员、学生骨干队伍要密切关注学生异常消费行为，及时发现学生在消费中存在的问题。建立高校不良网络借贷实时预警机制。及时发现不良网络借贷苗头性和倾向性，及时以电话、短信、网络、橱窗、电子屏等多种形式向学生发布预警提示信息，加强监管和风险提示。</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2）加大金融、网络安全知识普及力度。大力普及金融、网络安全知识。结合相关公共基础课或选修课，邀请金融机构、网信安全等专业人员开展金融、网络安全知识普及教育，帮助学生了解金融行业发展前沿动态，掌握逾期滞纳金、违约金、单利与复利等基本金融常识。切实增强学生金融、网络安全防范意识。利用主题班会、微信平台、微博等多种渠道向学生推送校园不良网络借贷典型案例。在重要节庆日、购物狂欢日等时间节点，开展金融、网络安全宣讲活动，强化学生对网络借贷风险的理解和认识，帮助学生增强金融、网络安全防范意识。</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3）借助社会、政府力量，加大监管、制裁力度。通过借助国家相关部门力量，如银监会、教育部和公安部，联合出台一系列相关的措施、规章制度，制定规范的监管机制，加大对不良借贷的监管和制裁力度，以此净化校园借贷环境，保障学生在网络借贷中的权益和财产安全。</w:t>
      </w:r>
    </w:p>
    <w:p>
      <w:pPr>
        <w:rPr>
          <w:rFonts w:ascii="黑体" w:hAnsi="宋体" w:eastAsia="黑体"/>
          <w:b/>
          <w:sz w:val="30"/>
          <w:szCs w:val="30"/>
        </w:rPr>
      </w:pPr>
      <w:r>
        <w:rPr>
          <w:rFonts w:hint="eastAsia" w:ascii="黑体" w:hAnsi="宋体" w:eastAsia="黑体"/>
          <w:b/>
          <w:sz w:val="30"/>
          <w:szCs w:val="30"/>
        </w:rPr>
        <w:t>4.结束语</w:t>
      </w:r>
    </w:p>
    <w:p>
      <w:pPr>
        <w:spacing w:line="560" w:lineRule="exact"/>
        <w:ind w:firstLine="600" w:firstLineChars="200"/>
        <w:rPr>
          <w:rFonts w:hint="eastAsia" w:ascii="仿宋_GB2312" w:eastAsia="仿宋_GB2312"/>
          <w:sz w:val="30"/>
          <w:szCs w:val="30"/>
        </w:rPr>
      </w:pPr>
      <w:r>
        <w:rPr>
          <w:rFonts w:hint="eastAsia" w:ascii="仿宋_GB2312" w:eastAsia="仿宋_GB2312"/>
          <w:sz w:val="30"/>
          <w:szCs w:val="30"/>
        </w:rPr>
        <w:t>当代大学生自我保护意识、辨别是非意识比较薄弱，间接引发校园不良网络借贷行为的兴起，并一定程度上给学生、学校及家长造成了重大的不良影响。因此，针对不良网络借贷，如何防范其发生，对高校而言是一件任重而道远的工作。本文则借助不良网络借贷案例重点分析了借贷的风险，并探讨了防范不良借贷的具体工作思路和方法，为高校管理工作提供一定的决策和支持。</w:t>
      </w:r>
    </w:p>
    <w:p>
      <w:pPr>
        <w:spacing w:line="560" w:lineRule="exact"/>
        <w:ind w:firstLine="600" w:firstLineChars="200"/>
        <w:rPr>
          <w:rFonts w:hint="eastAsia" w:ascii="仿宋_GB2312" w:eastAsia="仿宋_GB2312"/>
          <w:sz w:val="30"/>
          <w:szCs w:val="30"/>
        </w:rPr>
      </w:pPr>
    </w:p>
    <w:p>
      <w:pPr>
        <w:spacing w:line="560" w:lineRule="exact"/>
        <w:ind w:firstLine="600" w:firstLineChars="200"/>
        <w:rPr>
          <w:rFonts w:ascii="仿宋_GB2312" w:eastAsia="仿宋_GB2312"/>
          <w:sz w:val="30"/>
          <w:szCs w:val="30"/>
        </w:rPr>
      </w:pPr>
    </w:p>
    <w:p>
      <w:pPr>
        <w:jc w:val="center"/>
        <w:rPr>
          <w:rFonts w:ascii="黑体" w:hAnsi="宋体" w:eastAsia="黑体"/>
          <w:b/>
          <w:sz w:val="30"/>
          <w:szCs w:val="30"/>
        </w:rPr>
      </w:pPr>
      <w:r>
        <w:rPr>
          <w:rFonts w:hint="eastAsia" w:ascii="黑体" w:hAnsi="宋体" w:eastAsia="黑体"/>
          <w:b/>
          <w:sz w:val="30"/>
          <w:szCs w:val="30"/>
        </w:rPr>
        <w:t>参考文献</w:t>
      </w:r>
    </w:p>
    <w:p>
      <w:pPr>
        <w:spacing w:line="440" w:lineRule="exact"/>
        <w:ind w:firstLine="560" w:firstLineChars="200"/>
        <w:rPr>
          <w:sz w:val="28"/>
        </w:rPr>
      </w:pPr>
      <w:r>
        <w:rPr>
          <w:rFonts w:hint="eastAsia"/>
          <w:sz w:val="28"/>
        </w:rPr>
        <w:t>[1]</w:t>
      </w:r>
      <w:r>
        <w:rPr>
          <w:rFonts w:hint="eastAsia"/>
        </w:rPr>
        <w:t xml:space="preserve"> </w:t>
      </w:r>
      <w:r>
        <w:rPr>
          <w:rFonts w:hint="eastAsia"/>
          <w:sz w:val="28"/>
        </w:rPr>
        <w:t>张秋. 新形势下高校学生不良网络借贷风险防范机制探析[J]. 赤峰学院学报(自然版), 2016, 32(21):87-88.</w:t>
      </w:r>
    </w:p>
    <w:p>
      <w:pPr>
        <w:spacing w:line="440" w:lineRule="exact"/>
        <w:ind w:firstLine="560" w:firstLineChars="200"/>
        <w:rPr>
          <w:sz w:val="28"/>
        </w:rPr>
      </w:pPr>
      <w:r>
        <w:rPr>
          <w:rFonts w:hint="eastAsia"/>
          <w:sz w:val="28"/>
        </w:rPr>
        <w:t>[2] 高瑞瑶. 我国P2P网络借贷借款方风险分析与防范[D]. 中国社会科学院研究生院，2014.</w:t>
      </w:r>
    </w:p>
    <w:p>
      <w:pPr>
        <w:spacing w:line="440" w:lineRule="exact"/>
        <w:ind w:firstLine="560" w:firstLineChars="200"/>
        <w:rPr>
          <w:sz w:val="28"/>
        </w:rPr>
      </w:pPr>
      <w:r>
        <w:rPr>
          <w:rFonts w:hint="eastAsia"/>
          <w:sz w:val="28"/>
        </w:rPr>
        <w:t>[3] 叶通贤. 高等学校贷款风险的控制与化解研究[D]. 西南大学，2010.</w:t>
      </w:r>
    </w:p>
    <w:p>
      <w:pPr>
        <w:spacing w:line="440" w:lineRule="exact"/>
        <w:ind w:firstLine="560" w:firstLineChars="200"/>
        <w:rPr>
          <w:sz w:val="28"/>
        </w:rPr>
      </w:pPr>
      <w:r>
        <w:rPr>
          <w:rFonts w:hint="eastAsia"/>
          <w:sz w:val="28"/>
        </w:rPr>
        <w:t>[4] 马建林. 高校学生不良网络借贷风险防范机制研究[J]. 法制博览, 2017(18).</w:t>
      </w:r>
    </w:p>
    <w:p>
      <w:pPr>
        <w:spacing w:line="440" w:lineRule="exact"/>
        <w:ind w:firstLine="560" w:firstLineChars="200"/>
        <w:rPr>
          <w:sz w:val="28"/>
        </w:rPr>
      </w:pPr>
      <w:r>
        <w:rPr>
          <w:rFonts w:hint="eastAsia"/>
          <w:sz w:val="28"/>
        </w:rPr>
        <w:t>[5] 甘友成. 大学生不良网络借贷风险防范研究[J]. 浙江万里学院学报, 2017, 30(1):111-115.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87B"/>
    <w:rsid w:val="00002A98"/>
    <w:rsid w:val="00047614"/>
    <w:rsid w:val="000C1A9E"/>
    <w:rsid w:val="000F340D"/>
    <w:rsid w:val="0012736E"/>
    <w:rsid w:val="00153735"/>
    <w:rsid w:val="001734D2"/>
    <w:rsid w:val="001A344E"/>
    <w:rsid w:val="001B787B"/>
    <w:rsid w:val="001C6F11"/>
    <w:rsid w:val="001D213B"/>
    <w:rsid w:val="001D7D04"/>
    <w:rsid w:val="00260328"/>
    <w:rsid w:val="002661CF"/>
    <w:rsid w:val="00285725"/>
    <w:rsid w:val="0037668E"/>
    <w:rsid w:val="003776EF"/>
    <w:rsid w:val="00383F2C"/>
    <w:rsid w:val="00392A63"/>
    <w:rsid w:val="003C01C0"/>
    <w:rsid w:val="003F23ED"/>
    <w:rsid w:val="00415F85"/>
    <w:rsid w:val="004734D0"/>
    <w:rsid w:val="004B32D8"/>
    <w:rsid w:val="005271EA"/>
    <w:rsid w:val="00547AD4"/>
    <w:rsid w:val="005A14DC"/>
    <w:rsid w:val="005A424B"/>
    <w:rsid w:val="00756ADE"/>
    <w:rsid w:val="00780DBC"/>
    <w:rsid w:val="008365B4"/>
    <w:rsid w:val="00874E0C"/>
    <w:rsid w:val="00895E02"/>
    <w:rsid w:val="008A6443"/>
    <w:rsid w:val="008F1852"/>
    <w:rsid w:val="009455F8"/>
    <w:rsid w:val="009540F3"/>
    <w:rsid w:val="0099612A"/>
    <w:rsid w:val="009D19EF"/>
    <w:rsid w:val="00AC1789"/>
    <w:rsid w:val="00AD1524"/>
    <w:rsid w:val="00AE7F74"/>
    <w:rsid w:val="00AF39F3"/>
    <w:rsid w:val="00AF4B73"/>
    <w:rsid w:val="00B51301"/>
    <w:rsid w:val="00B56A3B"/>
    <w:rsid w:val="00B72170"/>
    <w:rsid w:val="00B72F29"/>
    <w:rsid w:val="00BB4FA3"/>
    <w:rsid w:val="00BF2B10"/>
    <w:rsid w:val="00C039FF"/>
    <w:rsid w:val="00C2619D"/>
    <w:rsid w:val="00C60C96"/>
    <w:rsid w:val="00C6130F"/>
    <w:rsid w:val="00CB3C0C"/>
    <w:rsid w:val="00CD2B79"/>
    <w:rsid w:val="00D14908"/>
    <w:rsid w:val="00D40FCF"/>
    <w:rsid w:val="00D725A7"/>
    <w:rsid w:val="00D74330"/>
    <w:rsid w:val="00D75F98"/>
    <w:rsid w:val="00DA43DF"/>
    <w:rsid w:val="00DE059D"/>
    <w:rsid w:val="00DE7941"/>
    <w:rsid w:val="00E365C5"/>
    <w:rsid w:val="00E779A0"/>
    <w:rsid w:val="00E83674"/>
    <w:rsid w:val="00ED658E"/>
    <w:rsid w:val="00EE363F"/>
    <w:rsid w:val="00EF23FD"/>
    <w:rsid w:val="00F374BC"/>
    <w:rsid w:val="00F55BE3"/>
    <w:rsid w:val="00F807FF"/>
    <w:rsid w:val="00FB1681"/>
    <w:rsid w:val="00FB2161"/>
    <w:rsid w:val="4C132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410</Words>
  <Characters>2343</Characters>
  <Lines>19</Lines>
  <Paragraphs>5</Paragraphs>
  <TotalTime>0</TotalTime>
  <ScaleCrop>false</ScaleCrop>
  <LinksUpToDate>false</LinksUpToDate>
  <CharactersWithSpaces>2748</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2017-10-16T03:17:00Z</dcterms:created>
  <dc:creator>User</dc:creator>
  <cp:lastModifiedBy>都是朋友</cp:lastModifiedBy>
  <cp:lastPrinted>2017-10-19T01:21:00Z</cp:lastPrinted>
  <dcterms:modified xsi:type="dcterms:W3CDTF">2017-12-26T03:19:37Z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